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82ED8">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82ED8">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82ED8">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82ED8">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82ED8">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82ED8">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82ED8">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82ED8">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82ED8">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82ED8">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82ED8">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82ED8">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82ED8">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82ED8">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82ED8">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82ED8">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82ED8">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82ED8">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82ED8">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82ED8">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82ED8">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82ED8">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82ED8">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82ED8">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82ED8">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82ED8">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82ED8">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82ED8">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82ED8">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82ED8">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82ED8">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82ED8">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82ED8">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82ED8">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82ED8">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82ED8">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82ED8">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82ED8">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82ED8">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82ED8">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82ED8">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82ED8">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82ED8">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82ED8">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82ED8">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82ED8">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EFAD364" w:rsidR="00093CA9" w:rsidRDefault="00446A79" w:rsidP="00093CA9">
            <w:r w:rsidRPr="00446A79">
              <w:t>Olaniwun Ajayi</w:t>
            </w:r>
            <w:r w:rsidR="00263CA1">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0FC1C95" w:rsidR="00093CA9" w:rsidRDefault="00846A24" w:rsidP="00093CA9">
            <w:r w:rsidRPr="00846A24">
              <w:t>Regulatory Guidance on Nigeria’s Carbon Market Approach</w:t>
            </w:r>
            <w:r w:rsidR="00973358">
              <w:t xml:space="preserve"> (the </w:t>
            </w:r>
            <w:r w:rsidR="00973358" w:rsidRPr="00973358">
              <w:rPr>
                <w:b/>
                <w:bCs/>
              </w:rPr>
              <w:t>Regulatory Guidance</w:t>
            </w:r>
            <w:r w:rsidR="00973358">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6071AF3" w:rsidR="00093CA9" w:rsidRDefault="00B82ED8" w:rsidP="00093CA9">
            <w:hyperlink r:id="rId17" w:history="1">
              <w:r w:rsidR="007C0338" w:rsidRPr="00ED2722">
                <w:rPr>
                  <w:rStyle w:val="Hyperlink"/>
                </w:rPr>
                <w:t>https://batnoncenter.org/wp-content/uploads/2024/03/NCCC-Regulatory-Guidance-on-Nigerias-Carbon-Market-Approach.pdf</w:t>
              </w:r>
            </w:hyperlink>
            <w:r w:rsidR="007C0338">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A6240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8386A3F" w:rsidR="00093CA9" w:rsidRDefault="00846A2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8DD149A" w:rsidR="00093CA9" w:rsidRDefault="00C102D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2E14836" w:rsidR="00093CA9" w:rsidRPr="00CF1D42" w:rsidRDefault="00000A88" w:rsidP="00CF1D42">
            <w:pPr>
              <w:jc w:val="both"/>
              <w:rPr>
                <w:lang w:val="en-US"/>
              </w:rPr>
            </w:pPr>
            <w:r w:rsidRPr="00000A88">
              <w:rPr>
                <w:lang w:val="en-US"/>
              </w:rPr>
              <w:t xml:space="preserve">The Regulatory Guidance issued by the National Council on Climate Change (NCCC) under the Climate Change Act 2021 </w:t>
            </w:r>
            <w:r w:rsidR="007C0338">
              <w:rPr>
                <w:lang w:val="en-US"/>
              </w:rPr>
              <w:t xml:space="preserve">seeks to provide guidance on the </w:t>
            </w:r>
            <w:r w:rsidR="007C0338" w:rsidRPr="007C0338">
              <w:t>implementation of cooperation mechanisms under Article 6</w:t>
            </w:r>
            <w:r w:rsidR="007C0338">
              <w:t xml:space="preserve"> of the Paris Agreement in Nigeria. This policy tool recognises the </w:t>
            </w:r>
            <w:r w:rsidR="007C0338" w:rsidRPr="007C0338">
              <w:t xml:space="preserve">framework for </w:t>
            </w:r>
            <w:r w:rsidR="00CF1D42">
              <w:t>c</w:t>
            </w:r>
            <w:r w:rsidR="007C0338" w:rsidRPr="007C0338">
              <w:t xml:space="preserve">orresponding </w:t>
            </w:r>
            <w:r w:rsidR="00CF1D42">
              <w:t>a</w:t>
            </w:r>
            <w:r w:rsidR="007C0338" w:rsidRPr="007C0338">
              <w:t>djustments</w:t>
            </w:r>
            <w:r w:rsidR="00CF1D42">
              <w:t xml:space="preserve"> (provided further to Article 6.2 of the Paris Agreement) as presenting the </w:t>
            </w:r>
            <w:r w:rsidR="00CF1D42" w:rsidRPr="00CF1D42">
              <w:t>best option for Nigeria to meet its domestic and international climate obligations.</w:t>
            </w:r>
            <w:r w:rsidR="00CF1D42">
              <w:t xml:space="preserve"> The policy tool is intended to serve as </w:t>
            </w:r>
            <w:r w:rsidRPr="00000A88">
              <w:rPr>
                <w:lang w:val="en-US"/>
              </w:rPr>
              <w:t xml:space="preserve">Nigeria’s official guidance for </w:t>
            </w:r>
            <w:r w:rsidR="00CF1D42">
              <w:rPr>
                <w:lang w:val="en-US"/>
              </w:rPr>
              <w:t xml:space="preserve">the conduct of </w:t>
            </w:r>
            <w:r w:rsidRPr="00000A88">
              <w:rPr>
                <w:lang w:val="en-US"/>
              </w:rPr>
              <w:t xml:space="preserve">carbon markets </w:t>
            </w:r>
            <w:r w:rsidR="00CF1D42">
              <w:rPr>
                <w:lang w:val="en-US"/>
              </w:rPr>
              <w:t>activities in Nigeria</w:t>
            </w:r>
            <w:r w:rsidRPr="00000A88">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362DB73" w:rsidR="00093CA9" w:rsidRDefault="00CF1D4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36E6E819"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15A745" w:rsidR="00093CA9" w:rsidRPr="00173D7C" w:rsidRDefault="00234D2A"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EC74B78" w:rsidR="00093CA9" w:rsidRPr="00173D7C" w:rsidRDefault="008F486B"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2E59736" w:rsidR="00093CA9" w:rsidRPr="007419BF" w:rsidRDefault="00234D2A" w:rsidP="00093CA9">
            <w:pPr>
              <w:rPr>
                <w:color w:val="000000" w:themeColor="text1"/>
              </w:rPr>
            </w:pPr>
            <w:r>
              <w:rPr>
                <w:color w:val="000000" w:themeColor="text1"/>
              </w:rPr>
              <w:t>No end date specified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2268E66" w:rsidR="00093CA9" w:rsidRDefault="00234D2A" w:rsidP="00093CA9">
            <w:r w:rsidRPr="00234D2A">
              <w:t>The National Council on Climate Change (NCCC)</w:t>
            </w:r>
            <w:r w:rsidR="008F486B">
              <w:t xml:space="preserve">, the supervisory body established pursuant to the Climate Change Act.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1FB3CAD" w:rsidR="00093CA9" w:rsidRPr="006B7B0D" w:rsidRDefault="00234D2A" w:rsidP="00093CA9">
            <w:r w:rsidRPr="00234D2A">
              <w:t>The National Council on Climate Change (NCCC)</w:t>
            </w:r>
            <w:r>
              <w:t xml:space="preserve"> is the authority </w:t>
            </w:r>
            <w:r w:rsidRPr="006B7B0D">
              <w:t>responsible for overseeing implementation and/or enforcement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18E6F85" w:rsidR="00093CA9" w:rsidRPr="006B7B0D" w:rsidRDefault="005466D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C31B419" w:rsidR="00093CA9" w:rsidRDefault="008F486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9D70323"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BFD6CED" w:rsidR="00093CA9" w:rsidRPr="008F486B" w:rsidRDefault="00093CA9" w:rsidP="00093CA9">
            <w:pPr>
              <w:keepNext/>
              <w:rPr>
                <w:color w:val="000000" w:themeColor="text1"/>
                <w:lang w:val="en-US"/>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06EF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006EF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006EF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30C99FC"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57C32C2"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38B430FE"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0C4303B3" w:rsidR="00D4323A" w:rsidRPr="00CF2E7C" w:rsidRDefault="00CC665C"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3C84521"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6511006B"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5849E568"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25F2AD23"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69E8CFD5"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237A2075" w:rsidR="00D4323A" w:rsidRPr="00CF2E7C" w:rsidRDefault="00410D89"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006EF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20E08168"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01F1B004" w:rsidR="00DB1E72" w:rsidRPr="00CF2E7C" w:rsidRDefault="00CC665C"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07509B9"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502F784" w:rsidR="00092534" w:rsidRPr="00CF2E7C" w:rsidRDefault="00973358"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0B67B3F" w14:textId="3DD40FA0" w:rsidR="00973358" w:rsidRPr="00973358" w:rsidRDefault="00973358" w:rsidP="004773B1">
            <w:pPr>
              <w:jc w:val="both"/>
              <w:rPr>
                <w:rFonts w:ascii="Calibri" w:hAnsi="Calibri" w:cs="Calibri"/>
                <w:lang w:val="en-NG"/>
              </w:rPr>
            </w:pPr>
            <w:r>
              <w:rPr>
                <w:rFonts w:ascii="Calibri" w:hAnsi="Calibri" w:cs="Calibri"/>
                <w:lang w:val="en-NG"/>
              </w:rPr>
              <w:t xml:space="preserve">The Regulatory Guidance acknowledges that </w:t>
            </w:r>
            <w:r w:rsidR="004773B1">
              <w:rPr>
                <w:rFonts w:ascii="Calibri" w:hAnsi="Calibri" w:cs="Calibri"/>
                <w:lang w:val="en-NG"/>
              </w:rPr>
              <w:t>“</w:t>
            </w:r>
            <w:r w:rsidR="004773B1" w:rsidRPr="004773B1">
              <w:rPr>
                <w:rFonts w:ascii="Calibri" w:hAnsi="Calibri" w:cs="Calibri"/>
              </w:rPr>
              <w:t>Nigeria’s participation in the voluntary market will be based on government policies and development priorities.</w:t>
            </w:r>
            <w:r w:rsidR="004773B1">
              <w:rPr>
                <w:rFonts w:ascii="Calibri" w:hAnsi="Calibri" w:cs="Calibri"/>
              </w:rPr>
              <w:t xml:space="preserve">” To this end, the Nigerian government, through the President, </w:t>
            </w:r>
            <w:r w:rsidRPr="00973358">
              <w:rPr>
                <w:rFonts w:ascii="Calibri" w:hAnsi="Calibri" w:cs="Calibri"/>
                <w:lang w:val="en-NG"/>
              </w:rPr>
              <w:t xml:space="preserve">announced </w:t>
            </w:r>
            <w:r w:rsidR="004773B1" w:rsidRPr="00973358">
              <w:rPr>
                <w:rFonts w:ascii="Calibri" w:hAnsi="Calibri" w:cs="Calibri"/>
                <w:lang w:val="en-NG"/>
              </w:rPr>
              <w:t>in March 2025</w:t>
            </w:r>
            <w:r w:rsidR="004773B1">
              <w:rPr>
                <w:rFonts w:ascii="Calibri" w:hAnsi="Calibri" w:cs="Calibri"/>
                <w:lang w:val="en-NG"/>
              </w:rPr>
              <w:t xml:space="preserve"> </w:t>
            </w:r>
            <w:r w:rsidRPr="00973358">
              <w:rPr>
                <w:rFonts w:ascii="Calibri" w:hAnsi="Calibri" w:cs="Calibri"/>
                <w:lang w:val="en-NG"/>
              </w:rPr>
              <w:t xml:space="preserve">the </w:t>
            </w:r>
            <w:r w:rsidR="004773B1">
              <w:rPr>
                <w:rFonts w:ascii="Calibri" w:hAnsi="Calibri" w:cs="Calibri"/>
                <w:lang w:val="en-NG"/>
              </w:rPr>
              <w:t>completion</w:t>
            </w:r>
            <w:r w:rsidRPr="00973358">
              <w:rPr>
                <w:rFonts w:ascii="Calibri" w:hAnsi="Calibri" w:cs="Calibri"/>
                <w:lang w:val="en-NG"/>
              </w:rPr>
              <w:t xml:space="preserve"> of the Nigeria Carbon Market Activation Policy.</w:t>
            </w:r>
          </w:p>
          <w:p w14:paraId="33A3002C" w14:textId="0DBAD6C7" w:rsidR="00973358" w:rsidRPr="00973358" w:rsidRDefault="004773B1" w:rsidP="004773B1">
            <w:pPr>
              <w:jc w:val="both"/>
              <w:rPr>
                <w:rFonts w:ascii="Calibri" w:hAnsi="Calibri" w:cs="Calibri"/>
                <w:lang w:val="en-NG"/>
              </w:rPr>
            </w:pPr>
            <w:r>
              <w:rPr>
                <w:rFonts w:ascii="Calibri" w:hAnsi="Calibri" w:cs="Calibri"/>
                <w:lang w:val="en-NG"/>
              </w:rPr>
              <w:t xml:space="preserve">It has been reported that the policy “aims to establish </w:t>
            </w:r>
            <w:r w:rsidR="00973358" w:rsidRPr="00973358">
              <w:rPr>
                <w:rFonts w:ascii="Calibri" w:hAnsi="Calibri" w:cs="Calibri"/>
                <w:lang w:val="en-NG"/>
              </w:rPr>
              <w:t>new market infrastructure, including a national carbon registry, project eligibility rules aligned with Article 6 of the Paris Agreement and incentives to scale private-sector credit generation.</w:t>
            </w:r>
            <w:r>
              <w:rPr>
                <w:rFonts w:ascii="Calibri" w:hAnsi="Calibri" w:cs="Calibri"/>
                <w:lang w:val="en-NG"/>
              </w:rPr>
              <w:t>”</w:t>
            </w:r>
          </w:p>
          <w:p w14:paraId="5208992D" w14:textId="77777777" w:rsidR="004773B1" w:rsidRDefault="004773B1" w:rsidP="00CF2E7C">
            <w:pPr>
              <w:rPr>
                <w:rFonts w:ascii="Calibri" w:hAnsi="Calibri" w:cs="Calibri"/>
              </w:rPr>
            </w:pPr>
          </w:p>
          <w:p w14:paraId="4E9BC062" w14:textId="5E95510E" w:rsidR="004773B1" w:rsidRPr="00CF2E7C" w:rsidRDefault="004773B1" w:rsidP="004773B1">
            <w:pPr>
              <w:jc w:val="both"/>
              <w:rPr>
                <w:rFonts w:ascii="Calibri" w:hAnsi="Calibri" w:cs="Calibri"/>
              </w:rPr>
            </w:pPr>
            <w:r>
              <w:rPr>
                <w:rFonts w:ascii="Calibri" w:hAnsi="Calibri" w:cs="Calibri"/>
              </w:rPr>
              <w:t xml:space="preserve">Web link: </w:t>
            </w:r>
            <w:hyperlink r:id="rId18" w:history="1">
              <w:r w:rsidRPr="00BC7141">
                <w:rPr>
                  <w:rStyle w:val="Hyperlink"/>
                  <w:rFonts w:ascii="Calibri" w:hAnsi="Calibri" w:cs="Calibri"/>
                </w:rPr>
                <w:t>https://www.fastmarkets.com/insights/nigeria-finalizes-carbon-market-policy-targets-2-5-bln-in-climate-investment-by-2030/</w:t>
              </w:r>
            </w:hyperlink>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A4ABA61" w:rsidR="00092534" w:rsidRPr="00CF2E7C" w:rsidRDefault="006E43CB"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FDD02B7" w:rsidR="00092534" w:rsidRPr="00CF2E7C" w:rsidRDefault="006E43CB"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05E980E" w:rsidR="00D46B07" w:rsidRPr="00CF2E7C" w:rsidRDefault="006E4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331D5CE" w:rsidR="00D46B07" w:rsidRPr="00CF2E7C" w:rsidRDefault="006E4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E012B">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C5B3CA1" w:rsidR="00D46B07" w:rsidRPr="00CF2E7C" w:rsidRDefault="00FE01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7CF2330" w:rsidR="00D46B07" w:rsidRPr="00CF2E7C" w:rsidRDefault="00FE01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5085B90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E012B">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195F5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E012B">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96CA11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FE012B">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3CB0147" w:rsidR="00D46B07" w:rsidRPr="00CF2E7C" w:rsidRDefault="00FE01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6DFCCF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012B">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6A75E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012B">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DD4F0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012B">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D2831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012B">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A06EE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E012B">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26CAE10C" w:rsidR="00343937" w:rsidRPr="00CF2E7C" w:rsidRDefault="00C04E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EE6903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65C">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E3710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65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17F0BC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65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5345614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9D09D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20E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1F2CE3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65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5ADF064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C665C">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F94BB89" w:rsidR="00343937" w:rsidRPr="00CF2E7C" w:rsidRDefault="00B320E7" w:rsidP="00B320E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Regulatory Guidance references the </w:t>
            </w:r>
            <w:r w:rsidRPr="00B320E7">
              <w:rPr>
                <w:rFonts w:ascii="Calibri" w:eastAsia="Times New Roman" w:hAnsi="Calibri" w:cs="Calibri"/>
                <w:kern w:val="0"/>
                <w:lang w:eastAsia="en-GB"/>
                <w14:ligatures w14:val="none"/>
              </w:rPr>
              <w:t xml:space="preserve">structure and procedures outlined in the rulebook for Article 6 </w:t>
            </w:r>
            <w:r>
              <w:rPr>
                <w:rFonts w:ascii="Calibri" w:eastAsia="Times New Roman" w:hAnsi="Calibri" w:cs="Calibri"/>
                <w:kern w:val="0"/>
                <w:lang w:eastAsia="en-GB"/>
                <w14:ligatures w14:val="none"/>
              </w:rPr>
              <w:t xml:space="preserve">of the Paris Agreement. It states that </w:t>
            </w:r>
            <w:r w:rsidR="00F64BBC">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the rulebook provides a</w:t>
            </w:r>
            <w:r w:rsidRPr="00B320E7">
              <w:rPr>
                <w:rFonts w:ascii="Calibri" w:eastAsia="Times New Roman" w:hAnsi="Calibri" w:cs="Calibri"/>
                <w:kern w:val="0"/>
                <w:lang w:eastAsia="en-GB"/>
                <w14:ligatures w14:val="none"/>
              </w:rPr>
              <w:t xml:space="preserve"> foundational basis for the establishment of the framework for Corresponding Adjustments, which seeks to avoid double counting by transferring some or all of the mitigation outcomes from Nigeria and placing them in the ledger of the buying country under Internationally Transferred Mitigation Outcomes (ITMOs), or Other International Mitigation Purposes (OIMP), in the case of the private sector</w:t>
            </w:r>
            <w:r w:rsidR="00F64BBC">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322CA5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8BA70A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037FD3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9E8E2C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78668CF5" w:rsidR="000A6F11" w:rsidRPr="00CF2E7C" w:rsidRDefault="00C04E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 </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7EB55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4A383A1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64BBC">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13A99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10113F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0CBAF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211C17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DBBE6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3C8788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69C86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5F763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3EAC78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63CBDDF3" w:rsidR="00047A9C" w:rsidRPr="00CF2E7C" w:rsidRDefault="00C04E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F0E94D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D709C4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34271A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B23B2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3733D3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3FC95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4ED4">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9892F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EDFE8B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EF03F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31BEFFB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765AAC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6255B28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0CAF49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BB4C5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112FB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042FE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909">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C3C4001" w:rsidR="00DD694D" w:rsidRPr="00CF2E7C" w:rsidRDefault="003A78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C2D2C7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C0EC62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DD50E4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19280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C4687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8CED5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38812AB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B302F4E" w:rsidR="002119B6" w:rsidRPr="00CF2E7C" w:rsidRDefault="003A78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9EF63C5" w:rsidR="00FE7FA5" w:rsidRPr="00CF2E7C" w:rsidRDefault="003A78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1580CC9" w:rsidR="00FE7FA5" w:rsidRPr="00CF2E7C" w:rsidRDefault="00F86E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0CD6C9C4" w:rsidR="00FE7FA5" w:rsidRPr="00CF2E7C" w:rsidRDefault="00804287" w:rsidP="0080428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Regulatory Guidance states that </w:t>
            </w:r>
            <w:r w:rsidR="00F86E3B" w:rsidRPr="00F86E3B">
              <w:rPr>
                <w:rFonts w:ascii="Calibri" w:eastAsia="Times New Roman" w:hAnsi="Calibri" w:cs="Calibri"/>
                <w:kern w:val="0"/>
                <w:lang w:eastAsia="en-GB"/>
                <w14:ligatures w14:val="none"/>
              </w:rPr>
              <w:t xml:space="preserve">Nigeria’s participation in the voluntary carbon market will be guided by government policies and development priorities to ensure credibility and predictability for participants. </w:t>
            </w:r>
            <w:r>
              <w:rPr>
                <w:rFonts w:ascii="Calibri" w:eastAsia="Times New Roman" w:hAnsi="Calibri" w:cs="Calibri"/>
                <w:kern w:val="0"/>
                <w:lang w:eastAsia="en-GB"/>
                <w14:ligatures w14:val="none"/>
              </w:rPr>
              <w:t>Further</w:t>
            </w:r>
            <w:r w:rsidR="00F86E3B" w:rsidRPr="00F86E3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it provides that</w:t>
            </w:r>
            <w:r w:rsidR="00F86E3B" w:rsidRPr="00F86E3B">
              <w:rPr>
                <w:rFonts w:ascii="Calibri" w:eastAsia="Times New Roman" w:hAnsi="Calibri" w:cs="Calibri"/>
                <w:kern w:val="0"/>
                <w:lang w:eastAsia="en-GB"/>
                <w14:ligatures w14:val="none"/>
              </w:rPr>
              <w:t xml:space="preserve"> the NCCC will require a “No-Objection” approval, as mandated by regulation</w:t>
            </w:r>
            <w:r>
              <w:rPr>
                <w:rFonts w:ascii="Calibri" w:eastAsia="Times New Roman" w:hAnsi="Calibri" w:cs="Calibri"/>
                <w:kern w:val="0"/>
                <w:lang w:eastAsia="en-GB"/>
                <w14:ligatures w14:val="none"/>
              </w:rPr>
              <w:t xml:space="preserve"> (presumably one to be implemented subsequently)</w:t>
            </w:r>
            <w:r w:rsidR="00F86E3B" w:rsidRPr="00F86E3B">
              <w:rPr>
                <w:rFonts w:ascii="Calibri" w:eastAsia="Times New Roman" w:hAnsi="Calibri" w:cs="Calibri"/>
                <w:kern w:val="0"/>
                <w:lang w:eastAsia="en-GB"/>
                <w14:ligatures w14:val="none"/>
              </w:rPr>
              <w:t>, for the issuance and transfer of certified credits across all sectors, in alignment with Article 6.2 of the Paris Agreement.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5C7A2763" w:rsidR="00FE7FA5" w:rsidRPr="00CF2E7C" w:rsidRDefault="003A78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No</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27071A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6303EF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8F611B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04287">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5D92C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DD7A4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277EFDB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4DC1D7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B62D84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A1141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30A3C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0AC900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81C">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A282E" w14:textId="64C52264" w:rsidR="002862E4" w:rsidRPr="00804287" w:rsidRDefault="002862E4" w:rsidP="00CF2E7C">
            <w:pPr>
              <w:pStyle w:val="ListParagraph"/>
              <w:numPr>
                <w:ilvl w:val="0"/>
                <w:numId w:val="49"/>
              </w:numPr>
              <w:textAlignment w:val="baseline"/>
              <w:rPr>
                <w:rFonts w:ascii="Calibri" w:eastAsia="Times New Roman" w:hAnsi="Calibri" w:cs="Calibri"/>
                <w:kern w:val="0"/>
                <w:lang w:eastAsia="en-GB"/>
                <w14:ligatures w14:val="none"/>
              </w:rPr>
            </w:pPr>
            <w:r w:rsidRPr="00804287">
              <w:rPr>
                <w:rFonts w:ascii="Calibri" w:eastAsia="Times New Roman" w:hAnsi="Calibri" w:cs="Calibri"/>
                <w:kern w:val="0"/>
                <w:lang w:eastAsia="en-GB"/>
                <w14:ligatures w14:val="none"/>
              </w:rPr>
              <w:t>Article 6 of the Paris Agreement</w:t>
            </w:r>
            <w:r w:rsidR="00804287">
              <w:rPr>
                <w:rFonts w:ascii="Calibri" w:eastAsia="Times New Roman" w:hAnsi="Calibri" w:cs="Calibri"/>
                <w:kern w:val="0"/>
                <w:lang w:eastAsia="en-GB"/>
                <w14:ligatures w14:val="none"/>
              </w:rPr>
              <w:t xml:space="preserve"> - </w:t>
            </w:r>
            <w:hyperlink r:id="rId19" w:history="1">
              <w:r w:rsidR="00804287" w:rsidRPr="00BC7141">
                <w:rPr>
                  <w:rStyle w:val="Hyperlink"/>
                  <w:rFonts w:ascii="Calibri" w:eastAsia="Times New Roman" w:hAnsi="Calibri" w:cs="Calibri"/>
                  <w:kern w:val="0"/>
                  <w:lang w:eastAsia="en-GB"/>
                  <w14:ligatures w14:val="none"/>
                </w:rPr>
                <w:t>https://cdn.cseindia.org/COP28/Article6.pdf</w:t>
              </w:r>
            </w:hyperlink>
            <w:r w:rsidR="00804287" w:rsidRPr="00804287">
              <w:rPr>
                <w:rFonts w:ascii="Calibri" w:eastAsia="Times New Roman" w:hAnsi="Calibri" w:cs="Calibri"/>
                <w:kern w:val="0"/>
                <w:lang w:eastAsia="en-GB"/>
                <w14:ligatures w14:val="none"/>
              </w:rPr>
              <w:t xml:space="preserve"> </w:t>
            </w:r>
          </w:p>
          <w:p w14:paraId="733E7EF4" w14:textId="77777777" w:rsidR="00804287" w:rsidRDefault="00804287" w:rsidP="00CF2E7C">
            <w:pPr>
              <w:textAlignment w:val="baseline"/>
              <w:rPr>
                <w:rFonts w:ascii="Calibri" w:eastAsia="Times New Roman" w:hAnsi="Calibri" w:cs="Calibri"/>
                <w:kern w:val="0"/>
                <w:lang w:eastAsia="en-GB"/>
                <w14:ligatures w14:val="none"/>
              </w:rPr>
            </w:pPr>
          </w:p>
          <w:p w14:paraId="5635CD78" w14:textId="1EA87701" w:rsidR="00804287" w:rsidRPr="00804287" w:rsidRDefault="00804287" w:rsidP="00804287">
            <w:pPr>
              <w:pStyle w:val="ListParagraph"/>
              <w:numPr>
                <w:ilvl w:val="0"/>
                <w:numId w:val="49"/>
              </w:numPr>
              <w:textAlignment w:val="baseline"/>
              <w:rPr>
                <w:rFonts w:ascii="Calibri" w:eastAsia="Times New Roman" w:hAnsi="Calibri" w:cs="Calibri"/>
                <w:kern w:val="0"/>
                <w:lang w:eastAsia="en-GB"/>
                <w14:ligatures w14:val="none"/>
              </w:rPr>
            </w:pPr>
            <w:r w:rsidRPr="00804287">
              <w:rPr>
                <w:rFonts w:ascii="Calibri" w:eastAsia="Times New Roman" w:hAnsi="Calibri" w:cs="Calibri"/>
                <w:kern w:val="0"/>
                <w:lang w:eastAsia="en-GB"/>
                <w14:ligatures w14:val="none"/>
              </w:rPr>
              <w:t>The rulebook for Article 6 of the Paris Agreement</w:t>
            </w:r>
            <w:r>
              <w:rPr>
                <w:rFonts w:ascii="Calibri" w:eastAsia="Times New Roman" w:hAnsi="Calibri" w:cs="Calibri"/>
                <w:kern w:val="0"/>
                <w:lang w:eastAsia="en-GB"/>
                <w14:ligatures w14:val="none"/>
              </w:rPr>
              <w:t xml:space="preserve"> - </w:t>
            </w:r>
            <w:hyperlink r:id="rId20" w:history="1">
              <w:r w:rsidRPr="00BC7141">
                <w:rPr>
                  <w:rStyle w:val="Hyperlink"/>
                  <w:rFonts w:ascii="Calibri" w:eastAsia="Times New Roman" w:hAnsi="Calibri" w:cs="Calibri"/>
                  <w:kern w:val="0"/>
                  <w:lang w:eastAsia="en-GB"/>
                  <w14:ligatures w14:val="none"/>
                </w:rPr>
                <w:t>https://ercst.org/wp-content/uploads/2021/11/20211122-COP26-Art6-final.pdf</w:t>
              </w:r>
            </w:hyperlink>
            <w:r>
              <w:rPr>
                <w:rFonts w:ascii="Calibri" w:eastAsia="Times New Roman" w:hAnsi="Calibri" w:cs="Calibri"/>
                <w:kern w:val="0"/>
                <w:lang w:eastAsia="en-GB"/>
                <w14:ligatures w14:val="none"/>
              </w:rPr>
              <w:t xml:space="preserve">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71471F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665A63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4A570E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69E841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0E2E5C2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239321D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862E4">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3161343" w:rsidR="00FE7FA5" w:rsidRPr="009C4D10" w:rsidRDefault="002862E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6E3A61F4" w:rsidR="00FE7FA5" w:rsidRPr="009C4D10" w:rsidRDefault="002862E4" w:rsidP="00804287">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w:t>
            </w:r>
            <w:r w:rsidR="00804287">
              <w:rPr>
                <w:rFonts w:eastAsia="Times New Roman" w:cstheme="minorHAnsi"/>
                <w:kern w:val="0"/>
                <w:lang w:eastAsia="en-GB"/>
                <w14:ligatures w14:val="none"/>
              </w:rPr>
              <w:t xml:space="preserve">Regulatory Guidance makes significant reference </w:t>
            </w:r>
            <w:r>
              <w:rPr>
                <w:rFonts w:eastAsia="Times New Roman" w:cstheme="minorHAnsi"/>
                <w:kern w:val="0"/>
                <w:lang w:eastAsia="en-GB"/>
                <w14:ligatures w14:val="none"/>
              </w:rPr>
              <w:t xml:space="preserve">to </w:t>
            </w:r>
            <w:r w:rsidRPr="002862E4">
              <w:rPr>
                <w:rFonts w:eastAsia="Times New Roman" w:cstheme="minorHAnsi"/>
                <w:kern w:val="0"/>
                <w:lang w:eastAsia="en-GB"/>
                <w14:ligatures w14:val="none"/>
              </w:rPr>
              <w:t xml:space="preserve">Article 6.2 of the Paris Agreement </w:t>
            </w:r>
            <w:r w:rsidR="00804287">
              <w:rPr>
                <w:rFonts w:eastAsia="Times New Roman" w:cstheme="minorHAnsi"/>
                <w:kern w:val="0"/>
                <w:lang w:eastAsia="en-GB"/>
                <w14:ligatures w14:val="none"/>
              </w:rPr>
              <w:t>and the rulebook on Article 6 and recognises the framework established under these mechanisms as being “</w:t>
            </w:r>
            <w:r w:rsidR="00804287" w:rsidRPr="00804287">
              <w:rPr>
                <w:rFonts w:eastAsia="Times New Roman" w:cstheme="minorHAnsi"/>
                <w:kern w:val="0"/>
                <w:lang w:eastAsia="en-GB"/>
                <w14:ligatures w14:val="none"/>
              </w:rPr>
              <w:t>the best option for Nigeria to meet its domestic and international climate obligations</w:t>
            </w:r>
            <w:r w:rsidR="00804287">
              <w:rPr>
                <w:rFonts w:eastAsia="Times New Roman" w:cstheme="minorHAnsi"/>
                <w:kern w:val="0"/>
                <w:lang w:eastAsia="en-GB"/>
                <w14:ligatures w14:val="none"/>
              </w:rPr>
              <w: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2D861D8C" w:rsidR="00392F82" w:rsidRPr="009C4D10" w:rsidRDefault="0090412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F14B60">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5BD68B14" w:rsidR="00392F82" w:rsidRPr="009C4D10" w:rsidRDefault="0090412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42B684CB"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90412C">
              <w:rPr>
                <w:rFonts w:eastAsia="Times New Roman" w:cstheme="minorHAnsi"/>
                <w:kern w:val="0"/>
                <w:lang w:eastAsia="en-GB"/>
                <w14:ligatures w14:val="none"/>
              </w:rPr>
              <w:t xml:space="preserve">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0D28448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FE449C4" w:rsidR="00392F82" w:rsidRPr="009C4D10" w:rsidRDefault="0090412C" w:rsidP="00F14B60">
            <w:pPr>
              <w:jc w:val="both"/>
              <w:textAlignment w:val="baseline"/>
              <w:rPr>
                <w:rFonts w:eastAsia="Times New Roman" w:cstheme="minorHAnsi"/>
                <w:kern w:val="0"/>
                <w:lang w:eastAsia="en-GB"/>
                <w14:ligatures w14:val="none"/>
              </w:rPr>
            </w:pPr>
            <w:r w:rsidRPr="0090412C">
              <w:rPr>
                <w:rFonts w:eastAsia="Times New Roman" w:cstheme="minorHAnsi"/>
                <w:kern w:val="0"/>
                <w:lang w:eastAsia="en-GB"/>
                <w14:ligatures w14:val="none"/>
              </w:rPr>
              <w:t>The policy tool regulates carbon credit trading by requiring NCCC “No Objection” approvals for all issuance and transfers, aligning with Article 6.2 of the Paris Agreement to enable international trading while ensuring transparency and compliance with Nigeria’s climate commitments.</w:t>
            </w:r>
            <w:r>
              <w:rPr>
                <w:rFonts w:eastAsia="Times New Roman" w:cstheme="minorHAnsi"/>
                <w:kern w:val="0"/>
                <w:lang w:eastAsia="en-GB"/>
                <w14:ligatures w14:val="none"/>
              </w:rPr>
              <w:t xml:space="preserve"> (Page 3)</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19F272D6" w:rsidR="00392F82" w:rsidRPr="0090412C" w:rsidRDefault="0090412C" w:rsidP="00F14B60">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90412C">
              <w:rPr>
                <w:rFonts w:eastAsia="Times New Roman" w:cstheme="minorHAnsi"/>
                <w:kern w:val="0"/>
                <w:lang w:eastAsia="en-GB"/>
                <w14:ligatures w14:val="none"/>
              </w:rPr>
              <w:t>The policy tool ensures market integrity by requiring NCCC approval (“No Objection”) for all credit issuances and transfers to prevent double counting and ensure alignment with Nigeria’s NDCs. It aligns with Article 6.2 of the Paris Agreement, using Corresponding Adjustments to maintain transparency and accountability during international credit transfers</w:t>
            </w:r>
            <w:r>
              <w:rPr>
                <w:rFonts w:eastAsia="Times New Roman" w:cstheme="minorHAnsi"/>
                <w:kern w:val="0"/>
                <w:lang w:eastAsia="en-GB"/>
                <w14:ligatures w14:val="none"/>
              </w:rPr>
              <w:t>. (Pages 2 and 3)</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43F2BD3" w:rsidR="00702413" w:rsidRPr="009C4D10" w:rsidRDefault="0090412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Nil</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006EF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82ED8"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82ED8"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59FAEE0E"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0A8B8660"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4C66F333" w:rsidR="002F0752" w:rsidRPr="00CF2E7C" w:rsidRDefault="002F0752" w:rsidP="00CF2E7C">
            <w:pPr>
              <w:rPr>
                <w:rFonts w:ascii="Calibri" w:hAnsi="Calibri" w:cs="Calibri"/>
              </w:rPr>
            </w:pPr>
          </w:p>
        </w:tc>
        <w:tc>
          <w:tcPr>
            <w:tcW w:w="1483" w:type="dxa"/>
            <w:vAlign w:val="center"/>
          </w:tcPr>
          <w:p w14:paraId="022FECD4" w14:textId="4A9A1040"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3DAC76FD"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1C5D8FEB"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4AACD417"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635162A0"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44418006"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1FD92F3D"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69F5EE74"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1AC9DA4B" w:rsidR="002F0752" w:rsidRPr="00CF2E7C" w:rsidRDefault="0085553C"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66E6F889"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0D969810"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65545EEC"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0CA7E04"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23514A14"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0093A70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136E4211"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07E93F5A"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1A300384"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3F038BB0"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0612A34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140E8116"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0B7AD581"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025D654C"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5403C743"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54F8A843"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3000271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10E86E5B"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3FDE5A19"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50333E08"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006EF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C91F3DE" w:rsidR="002F0752" w:rsidRPr="00CF2E7C" w:rsidRDefault="0085553C"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1292FCE8" w:rsidR="002F0752" w:rsidRPr="00CF2E7C" w:rsidRDefault="0085553C"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69CD241"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1A9A257C" w:rsidR="002F0752" w:rsidRPr="00CF2E7C" w:rsidRDefault="00BB6727"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3ABC2C" w14:textId="77777777" w:rsidR="00BB6727" w:rsidRPr="00973358" w:rsidRDefault="00BB6727" w:rsidP="00BB6727">
            <w:pPr>
              <w:jc w:val="both"/>
              <w:rPr>
                <w:rFonts w:ascii="Calibri" w:hAnsi="Calibri" w:cs="Calibri"/>
                <w:lang w:val="en-NG"/>
              </w:rPr>
            </w:pPr>
            <w:r>
              <w:rPr>
                <w:rFonts w:ascii="Calibri" w:hAnsi="Calibri" w:cs="Calibri"/>
                <w:lang w:val="en-NG"/>
              </w:rPr>
              <w:t>The Regulatory Guidance acknowledges that “</w:t>
            </w:r>
            <w:r w:rsidRPr="004773B1">
              <w:rPr>
                <w:rFonts w:ascii="Calibri" w:hAnsi="Calibri" w:cs="Calibri"/>
              </w:rPr>
              <w:t>Nigeria’s participation in the voluntary market will be based on government policies and development priorities.</w:t>
            </w:r>
            <w:r>
              <w:rPr>
                <w:rFonts w:ascii="Calibri" w:hAnsi="Calibri" w:cs="Calibri"/>
              </w:rPr>
              <w:t xml:space="preserve">” To this end, the Nigerian government, through the President, </w:t>
            </w:r>
            <w:r w:rsidRPr="00973358">
              <w:rPr>
                <w:rFonts w:ascii="Calibri" w:hAnsi="Calibri" w:cs="Calibri"/>
                <w:lang w:val="en-NG"/>
              </w:rPr>
              <w:t>announced in March 2025</w:t>
            </w:r>
            <w:r>
              <w:rPr>
                <w:rFonts w:ascii="Calibri" w:hAnsi="Calibri" w:cs="Calibri"/>
                <w:lang w:val="en-NG"/>
              </w:rPr>
              <w:t xml:space="preserve"> </w:t>
            </w:r>
            <w:r w:rsidRPr="00973358">
              <w:rPr>
                <w:rFonts w:ascii="Calibri" w:hAnsi="Calibri" w:cs="Calibri"/>
                <w:lang w:val="en-NG"/>
              </w:rPr>
              <w:t xml:space="preserve">the </w:t>
            </w:r>
            <w:r>
              <w:rPr>
                <w:rFonts w:ascii="Calibri" w:hAnsi="Calibri" w:cs="Calibri"/>
                <w:lang w:val="en-NG"/>
              </w:rPr>
              <w:t>completion</w:t>
            </w:r>
            <w:r w:rsidRPr="00973358">
              <w:rPr>
                <w:rFonts w:ascii="Calibri" w:hAnsi="Calibri" w:cs="Calibri"/>
                <w:lang w:val="en-NG"/>
              </w:rPr>
              <w:t xml:space="preserve"> of the Nigeria Carbon Market Activation Policy.</w:t>
            </w:r>
          </w:p>
          <w:p w14:paraId="0D51E128" w14:textId="77777777" w:rsidR="00BB6727" w:rsidRPr="00973358" w:rsidRDefault="00BB6727" w:rsidP="00BB6727">
            <w:pPr>
              <w:jc w:val="both"/>
              <w:rPr>
                <w:rFonts w:ascii="Calibri" w:hAnsi="Calibri" w:cs="Calibri"/>
                <w:lang w:val="en-NG"/>
              </w:rPr>
            </w:pPr>
            <w:r>
              <w:rPr>
                <w:rFonts w:ascii="Calibri" w:hAnsi="Calibri" w:cs="Calibri"/>
                <w:lang w:val="en-NG"/>
              </w:rPr>
              <w:t xml:space="preserve">It has been reported that the policy “aims to establish </w:t>
            </w:r>
            <w:r w:rsidRPr="00973358">
              <w:rPr>
                <w:rFonts w:ascii="Calibri" w:hAnsi="Calibri" w:cs="Calibri"/>
                <w:lang w:val="en-NG"/>
              </w:rPr>
              <w:t>new market infrastructure, including a national carbon registry, project eligibility rules aligned with Article 6 of the Paris Agreement and incentives to scale private-sector credit generation.</w:t>
            </w:r>
            <w:r>
              <w:rPr>
                <w:rFonts w:ascii="Calibri" w:hAnsi="Calibri" w:cs="Calibri"/>
                <w:lang w:val="en-NG"/>
              </w:rPr>
              <w:t>”</w:t>
            </w:r>
          </w:p>
          <w:p w14:paraId="19376C63" w14:textId="77777777" w:rsidR="00BB6727" w:rsidRDefault="00BB6727" w:rsidP="00BB6727">
            <w:pPr>
              <w:rPr>
                <w:rFonts w:ascii="Calibri" w:hAnsi="Calibri" w:cs="Calibri"/>
              </w:rPr>
            </w:pPr>
          </w:p>
          <w:p w14:paraId="28830E53" w14:textId="7E45D5EC" w:rsidR="002F0752" w:rsidRPr="00CF2E7C" w:rsidRDefault="00BB6727" w:rsidP="00BB6727">
            <w:pPr>
              <w:rPr>
                <w:rFonts w:ascii="Calibri" w:hAnsi="Calibri" w:cs="Calibri"/>
              </w:rPr>
            </w:pPr>
            <w:r>
              <w:rPr>
                <w:rFonts w:ascii="Calibri" w:hAnsi="Calibri" w:cs="Calibri"/>
              </w:rPr>
              <w:t xml:space="preserve">Web link: </w:t>
            </w:r>
            <w:hyperlink r:id="rId23" w:history="1">
              <w:r w:rsidRPr="00BC7141">
                <w:rPr>
                  <w:rStyle w:val="Hyperlink"/>
                  <w:rFonts w:ascii="Calibri" w:hAnsi="Calibri" w:cs="Calibri"/>
                </w:rPr>
                <w:t>https://www.fastmarkets.com/insights/nigeria-finalizes-carbon-market-policy-targets-2-5-bln-in-climate-investment-by-2030/</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1B52DD7" w:rsidR="002F0752" w:rsidRPr="00CF2E7C" w:rsidRDefault="0085553C"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EAC4A6C" w:rsidR="002F0752" w:rsidRPr="00CF2E7C" w:rsidRDefault="0085553C"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8E40345" w:rsidR="002F0752" w:rsidRPr="00CF2E7C" w:rsidRDefault="00F86E3B"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501A56D8" w:rsidR="002F0752" w:rsidRPr="00CF2E7C" w:rsidRDefault="0085553C" w:rsidP="00CF2E7C">
            <w:pPr>
              <w:rPr>
                <w:rFonts w:ascii="Calibri" w:hAnsi="Calibri" w:cs="Calibri"/>
              </w:rPr>
            </w:pPr>
            <w:r>
              <w:rPr>
                <w:rFonts w:ascii="Calibri" w:hAnsi="Calibri" w:cs="Calibri"/>
              </w:rPr>
              <w:t>X</w:t>
            </w: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1D8278A2" w:rsidR="002F0752" w:rsidRPr="00CF2E7C" w:rsidRDefault="0085553C"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080D987E" w:rsidR="002F0752" w:rsidRPr="00CF2E7C" w:rsidRDefault="008D1B5A" w:rsidP="00CF2E7C">
            <w:pPr>
              <w:rPr>
                <w:rFonts w:ascii="Calibri" w:hAnsi="Calibri" w:cs="Calibri"/>
              </w:rPr>
            </w:pPr>
            <w:r>
              <w:rPr>
                <w:rFonts w:ascii="Calibri" w:hAnsi="Calibri" w:cs="Calibri"/>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0F17497" w:rsidR="002F0752" w:rsidRPr="00CF2E7C" w:rsidRDefault="008D1B5A"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44BB4FCE"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4F2D8D5E" w:rsidR="002F0752" w:rsidRPr="00CF2E7C" w:rsidRDefault="00A73409"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19526BE" w:rsidR="002F0752" w:rsidRPr="00CF2E7C" w:rsidRDefault="00A73409"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1FC0776" w:rsidR="002F0752" w:rsidRPr="00CF2E7C" w:rsidRDefault="00A73409"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6CB71BCC" w:rsidR="002F0752" w:rsidRPr="00CF2E7C" w:rsidRDefault="00A73409"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47B24A89" w:rsidR="002F0752" w:rsidRPr="00CF2E7C" w:rsidRDefault="00A73409"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C0ECA08"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BE42B72"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154C80EB"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4F7DB1DA"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41CD841"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1DE23320"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1A10A36"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1A116FDE" w:rsidR="002F0752" w:rsidRPr="00CF2E7C" w:rsidRDefault="008E5DE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6207EB28" w:rsidR="002F0752" w:rsidRPr="00CF2E7C" w:rsidRDefault="008E5DEB" w:rsidP="008E5DEB">
            <w:pPr>
              <w:jc w:val="both"/>
              <w:rPr>
                <w:rFonts w:ascii="Calibri" w:eastAsia="Calibri" w:hAnsi="Calibri" w:cs="Calibri"/>
                <w:color w:val="000000" w:themeColor="text1"/>
              </w:rPr>
            </w:pPr>
            <w:r>
              <w:rPr>
                <w:rFonts w:ascii="Calibri" w:eastAsia="Calibri" w:hAnsi="Calibri" w:cs="Calibri"/>
                <w:color w:val="000000" w:themeColor="text1"/>
              </w:rPr>
              <w:t xml:space="preserve">Although no specific level is prescribed, recommended or required, the Regulatory Guidance does stipulate that </w:t>
            </w:r>
            <w:r w:rsidRPr="008E5DEB">
              <w:rPr>
                <w:rFonts w:ascii="Calibri" w:eastAsia="Calibri" w:hAnsi="Calibri" w:cs="Calibri"/>
                <w:color w:val="000000" w:themeColor="text1"/>
              </w:rPr>
              <w:t>the NCCC will be paying close attention to industry-specific methane abatement efforts under its mandate</w:t>
            </w:r>
            <w:r>
              <w:rPr>
                <w:rFonts w:ascii="Calibri" w:eastAsia="Calibri" w:hAnsi="Calibri" w:cs="Calibri"/>
                <w:color w:val="000000" w:themeColor="text1"/>
              </w:rPr>
              <w:t xml:space="preserve">. </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FC6825A"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0D839AE1"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0CD95799"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902425B"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6B85242"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3ACCB9F5"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DC1D2F3"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B06B5CF" w:rsidR="002F0752" w:rsidRPr="00CF2E7C" w:rsidRDefault="008D1B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03ED0746"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373CC738"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1B3916D"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50DED385"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F6575C1"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426317D3"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E95C1A8"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BC629EB" w:rsidR="002F0752" w:rsidRPr="00CF2E7C" w:rsidRDefault="00CC66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2B67E4ED"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2272ED4"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43C3CCE"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05F587BF"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1788DAEC" w:rsidR="002F0752" w:rsidRPr="00A73409"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11015C92" w:rsidR="002F0752" w:rsidRPr="00A73409"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75A6CEC" w:rsidR="002F0752" w:rsidRPr="00A73409"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131181E3" w:rsidR="002F0752" w:rsidRPr="00A73409"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3E82C32" w:rsidR="002F0752" w:rsidRPr="00A73409"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778846D" w:rsidR="002F0752" w:rsidRPr="00A73409" w:rsidRDefault="00A73409" w:rsidP="00CF2E7C">
            <w:pPr>
              <w:rPr>
                <w:rFonts w:ascii="Calibri" w:eastAsia="Calibri" w:hAnsi="Calibri" w:cs="Calibri"/>
                <w:color w:val="000000" w:themeColor="text1"/>
              </w:rPr>
            </w:pPr>
            <w:r w:rsidRPr="00A73409">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57CFC2D" w:rsidR="002F0752" w:rsidRPr="00A73409" w:rsidRDefault="00A73409" w:rsidP="00CF2E7C">
            <w:pPr>
              <w:rPr>
                <w:rFonts w:ascii="Calibri" w:eastAsia="Calibri" w:hAnsi="Calibri" w:cs="Calibri"/>
                <w:color w:val="000000" w:themeColor="text1"/>
              </w:rPr>
            </w:pPr>
            <w:r w:rsidRPr="00A73409">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6E31521"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0AE511B"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5A6A4289"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98777C8"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D0B10B8"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C8D2D3F"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F0DB1E3"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B6E2FCD"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D2C9940"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2FFF48E"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055D04A"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7248584"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2F23029A"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6D27AC21" w:rsidR="002F0752" w:rsidRPr="00CF2E7C" w:rsidRDefault="00A73409"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6035431" w:rsidR="002F0752" w:rsidRPr="00CF2E7C" w:rsidRDefault="00A73409"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8C1AC59" w:rsidR="002F0752" w:rsidRPr="00CF2E7C" w:rsidRDefault="00A73409"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8FDB649" w:rsidR="002F0752" w:rsidRPr="00CF2E7C" w:rsidRDefault="00A73409"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846F432" w:rsidR="002F0752" w:rsidRPr="00CF2E7C" w:rsidRDefault="00A73409"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5130EAA"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72643D5"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22052570"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A79F21C"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349ED64"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62511A2"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7225AE2"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C053A49"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F99E678"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E2B95A2"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64D5482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356B94A4" w:rsidR="002F0752" w:rsidRPr="00CF2E7C" w:rsidRDefault="00A7340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B323682"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0621EC0"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5F427999"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43FD839" w:rsidR="002F0752" w:rsidRPr="00CF2E7C" w:rsidRDefault="00A7340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056BCEC"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A9AAF1B"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B3C84F0"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BC4B4C4"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457AB47"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252A819"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80790BC"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5486B57"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564AC9F0" w:rsidR="002F0752" w:rsidRPr="00CF2E7C" w:rsidRDefault="00A7340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E31D428"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8A4BF73"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3516C1A"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5AD0CAA"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ACBD331"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871B4F9"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D389ACF" w:rsidR="002F0752" w:rsidRPr="00CF2E7C" w:rsidRDefault="00A7340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53DEC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459CEC" w14:textId="77777777" w:rsidR="00B82ED8" w:rsidRDefault="00B82ED8" w:rsidP="00874E39">
      <w:r>
        <w:separator/>
      </w:r>
    </w:p>
  </w:endnote>
  <w:endnote w:type="continuationSeparator" w:id="0">
    <w:p w14:paraId="38C397A2" w14:textId="77777777" w:rsidR="00B82ED8" w:rsidRDefault="00B82ED8" w:rsidP="00874E39">
      <w:r>
        <w:continuationSeparator/>
      </w:r>
    </w:p>
  </w:endnote>
  <w:endnote w:type="continuationNotice" w:id="1">
    <w:p w14:paraId="19A1BBCC" w14:textId="77777777" w:rsidR="00B82ED8" w:rsidRDefault="00B82E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BF59FF" w14:textId="77777777" w:rsidR="00B82ED8" w:rsidRDefault="00B82ED8" w:rsidP="00874E39">
      <w:r>
        <w:separator/>
      </w:r>
    </w:p>
  </w:footnote>
  <w:footnote w:type="continuationSeparator" w:id="0">
    <w:p w14:paraId="6F2E7D48" w14:textId="77777777" w:rsidR="00B82ED8" w:rsidRDefault="00B82ED8" w:rsidP="00874E39">
      <w:r>
        <w:continuationSeparator/>
      </w:r>
    </w:p>
  </w:footnote>
  <w:footnote w:type="continuationNotice" w:id="1">
    <w:p w14:paraId="5939BC8D" w14:textId="77777777" w:rsidR="00B82ED8" w:rsidRDefault="00B82ED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1D74622"/>
    <w:multiLevelType w:val="hybridMultilevel"/>
    <w:tmpl w:val="A3E61DA4"/>
    <w:lvl w:ilvl="0" w:tplc="9454C7E8">
      <w:start w:val="1"/>
      <w:numFmt w:val="decimal"/>
      <w:lvlText w:val="%1."/>
      <w:lvlJc w:val="left"/>
      <w:pPr>
        <w:ind w:left="410" w:hanging="360"/>
      </w:pPr>
      <w:rPr>
        <w:rFonts w:hint="default"/>
      </w:rPr>
    </w:lvl>
    <w:lvl w:ilvl="1" w:tplc="20000019" w:tentative="1">
      <w:start w:val="1"/>
      <w:numFmt w:val="lowerLetter"/>
      <w:lvlText w:val="%2."/>
      <w:lvlJc w:val="left"/>
      <w:pPr>
        <w:ind w:left="1130" w:hanging="360"/>
      </w:pPr>
    </w:lvl>
    <w:lvl w:ilvl="2" w:tplc="2000001B" w:tentative="1">
      <w:start w:val="1"/>
      <w:numFmt w:val="lowerRoman"/>
      <w:lvlText w:val="%3."/>
      <w:lvlJc w:val="right"/>
      <w:pPr>
        <w:ind w:left="1850" w:hanging="180"/>
      </w:pPr>
    </w:lvl>
    <w:lvl w:ilvl="3" w:tplc="2000000F" w:tentative="1">
      <w:start w:val="1"/>
      <w:numFmt w:val="decimal"/>
      <w:lvlText w:val="%4."/>
      <w:lvlJc w:val="left"/>
      <w:pPr>
        <w:ind w:left="2570" w:hanging="360"/>
      </w:pPr>
    </w:lvl>
    <w:lvl w:ilvl="4" w:tplc="20000019" w:tentative="1">
      <w:start w:val="1"/>
      <w:numFmt w:val="lowerLetter"/>
      <w:lvlText w:val="%5."/>
      <w:lvlJc w:val="left"/>
      <w:pPr>
        <w:ind w:left="3290" w:hanging="360"/>
      </w:pPr>
    </w:lvl>
    <w:lvl w:ilvl="5" w:tplc="2000001B" w:tentative="1">
      <w:start w:val="1"/>
      <w:numFmt w:val="lowerRoman"/>
      <w:lvlText w:val="%6."/>
      <w:lvlJc w:val="right"/>
      <w:pPr>
        <w:ind w:left="4010" w:hanging="180"/>
      </w:pPr>
    </w:lvl>
    <w:lvl w:ilvl="6" w:tplc="2000000F" w:tentative="1">
      <w:start w:val="1"/>
      <w:numFmt w:val="decimal"/>
      <w:lvlText w:val="%7."/>
      <w:lvlJc w:val="left"/>
      <w:pPr>
        <w:ind w:left="4730" w:hanging="360"/>
      </w:pPr>
    </w:lvl>
    <w:lvl w:ilvl="7" w:tplc="20000019" w:tentative="1">
      <w:start w:val="1"/>
      <w:numFmt w:val="lowerLetter"/>
      <w:lvlText w:val="%8."/>
      <w:lvlJc w:val="left"/>
      <w:pPr>
        <w:ind w:left="5450" w:hanging="360"/>
      </w:pPr>
    </w:lvl>
    <w:lvl w:ilvl="8" w:tplc="2000001B" w:tentative="1">
      <w:start w:val="1"/>
      <w:numFmt w:val="lowerRoman"/>
      <w:lvlText w:val="%9."/>
      <w:lvlJc w:val="right"/>
      <w:pPr>
        <w:ind w:left="617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4"/>
  </w:num>
  <w:num w:numId="3">
    <w:abstractNumId w:val="42"/>
  </w:num>
  <w:num w:numId="4">
    <w:abstractNumId w:val="1"/>
  </w:num>
  <w:num w:numId="5">
    <w:abstractNumId w:val="29"/>
  </w:num>
  <w:num w:numId="6">
    <w:abstractNumId w:val="13"/>
  </w:num>
  <w:num w:numId="7">
    <w:abstractNumId w:val="21"/>
  </w:num>
  <w:num w:numId="8">
    <w:abstractNumId w:val="35"/>
  </w:num>
  <w:num w:numId="9">
    <w:abstractNumId w:val="3"/>
  </w:num>
  <w:num w:numId="10">
    <w:abstractNumId w:val="32"/>
  </w:num>
  <w:num w:numId="11">
    <w:abstractNumId w:val="48"/>
  </w:num>
  <w:num w:numId="12">
    <w:abstractNumId w:val="9"/>
  </w:num>
  <w:num w:numId="13">
    <w:abstractNumId w:val="11"/>
  </w:num>
  <w:num w:numId="14">
    <w:abstractNumId w:val="7"/>
  </w:num>
  <w:num w:numId="15">
    <w:abstractNumId w:val="31"/>
  </w:num>
  <w:num w:numId="16">
    <w:abstractNumId w:val="20"/>
  </w:num>
  <w:num w:numId="17">
    <w:abstractNumId w:val="8"/>
  </w:num>
  <w:num w:numId="18">
    <w:abstractNumId w:val="18"/>
  </w:num>
  <w:num w:numId="19">
    <w:abstractNumId w:val="43"/>
  </w:num>
  <w:num w:numId="20">
    <w:abstractNumId w:val="15"/>
  </w:num>
  <w:num w:numId="21">
    <w:abstractNumId w:val="28"/>
  </w:num>
  <w:num w:numId="22">
    <w:abstractNumId w:val="34"/>
  </w:num>
  <w:num w:numId="23">
    <w:abstractNumId w:val="27"/>
  </w:num>
  <w:num w:numId="24">
    <w:abstractNumId w:val="45"/>
  </w:num>
  <w:num w:numId="25">
    <w:abstractNumId w:val="44"/>
  </w:num>
  <w:num w:numId="26">
    <w:abstractNumId w:val="23"/>
  </w:num>
  <w:num w:numId="27">
    <w:abstractNumId w:val="6"/>
  </w:num>
  <w:num w:numId="28">
    <w:abstractNumId w:val="12"/>
  </w:num>
  <w:num w:numId="29">
    <w:abstractNumId w:val="46"/>
  </w:num>
  <w:num w:numId="30">
    <w:abstractNumId w:val="33"/>
  </w:num>
  <w:num w:numId="31">
    <w:abstractNumId w:val="30"/>
  </w:num>
  <w:num w:numId="32">
    <w:abstractNumId w:val="36"/>
  </w:num>
  <w:num w:numId="33">
    <w:abstractNumId w:val="40"/>
  </w:num>
  <w:num w:numId="34">
    <w:abstractNumId w:val="39"/>
  </w:num>
  <w:num w:numId="35">
    <w:abstractNumId w:val="10"/>
  </w:num>
  <w:num w:numId="36">
    <w:abstractNumId w:val="38"/>
  </w:num>
  <w:num w:numId="37">
    <w:abstractNumId w:val="4"/>
  </w:num>
  <w:num w:numId="38">
    <w:abstractNumId w:val="2"/>
  </w:num>
  <w:num w:numId="39">
    <w:abstractNumId w:val="25"/>
  </w:num>
  <w:num w:numId="40">
    <w:abstractNumId w:val="22"/>
  </w:num>
  <w:num w:numId="41">
    <w:abstractNumId w:val="19"/>
  </w:num>
  <w:num w:numId="42">
    <w:abstractNumId w:val="14"/>
  </w:num>
  <w:num w:numId="43">
    <w:abstractNumId w:val="0"/>
  </w:num>
  <w:num w:numId="44">
    <w:abstractNumId w:val="5"/>
  </w:num>
  <w:num w:numId="45">
    <w:abstractNumId w:val="41"/>
  </w:num>
  <w:num w:numId="46">
    <w:abstractNumId w:val="47"/>
  </w:num>
  <w:num w:numId="47">
    <w:abstractNumId w:val="26"/>
  </w:num>
  <w:num w:numId="48">
    <w:abstractNumId w:val="37"/>
  </w:num>
  <w:num w:numId="49">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88"/>
    <w:rsid w:val="00000B16"/>
    <w:rsid w:val="00001065"/>
    <w:rsid w:val="00001A40"/>
    <w:rsid w:val="0000250A"/>
    <w:rsid w:val="00002A50"/>
    <w:rsid w:val="00002B86"/>
    <w:rsid w:val="00004B5F"/>
    <w:rsid w:val="00004ED7"/>
    <w:rsid w:val="00005046"/>
    <w:rsid w:val="00005205"/>
    <w:rsid w:val="000057E1"/>
    <w:rsid w:val="00006B96"/>
    <w:rsid w:val="00006E38"/>
    <w:rsid w:val="00006EF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8E5"/>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D2A"/>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CA1"/>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2E4"/>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81C"/>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D89"/>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A79"/>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3B1"/>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CD7"/>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6D9"/>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07EF"/>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3CB"/>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0C5"/>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338"/>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287"/>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53C"/>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09"/>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3D5"/>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B5A"/>
    <w:rsid w:val="008D2B18"/>
    <w:rsid w:val="008D2FA8"/>
    <w:rsid w:val="008D45C5"/>
    <w:rsid w:val="008D4DA6"/>
    <w:rsid w:val="008D5150"/>
    <w:rsid w:val="008D54CE"/>
    <w:rsid w:val="008D78E4"/>
    <w:rsid w:val="008E1EEF"/>
    <w:rsid w:val="008E3BCF"/>
    <w:rsid w:val="008E4B2E"/>
    <w:rsid w:val="008E540F"/>
    <w:rsid w:val="008E55CB"/>
    <w:rsid w:val="008E59EB"/>
    <w:rsid w:val="008E5DEB"/>
    <w:rsid w:val="008E6AE1"/>
    <w:rsid w:val="008E760C"/>
    <w:rsid w:val="008F27A6"/>
    <w:rsid w:val="008F31B3"/>
    <w:rsid w:val="008F32F0"/>
    <w:rsid w:val="008F486B"/>
    <w:rsid w:val="008F520A"/>
    <w:rsid w:val="008F6A58"/>
    <w:rsid w:val="008F6F09"/>
    <w:rsid w:val="00900BE0"/>
    <w:rsid w:val="0090170E"/>
    <w:rsid w:val="00901BF4"/>
    <w:rsid w:val="00901C62"/>
    <w:rsid w:val="00902595"/>
    <w:rsid w:val="0090264D"/>
    <w:rsid w:val="00903BD2"/>
    <w:rsid w:val="0090412C"/>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484"/>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358"/>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A2B"/>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409"/>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5E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0E7"/>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ED8"/>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727"/>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ED4"/>
    <w:rsid w:val="00C102D8"/>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2D1"/>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65C"/>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D42"/>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6ED"/>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324"/>
    <w:rsid w:val="00E1559F"/>
    <w:rsid w:val="00E15DD2"/>
    <w:rsid w:val="00E15F51"/>
    <w:rsid w:val="00E15FF3"/>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5806"/>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532"/>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B60"/>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BBC"/>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E3B"/>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D3C"/>
    <w:rsid w:val="00FD3587"/>
    <w:rsid w:val="00FD42FF"/>
    <w:rsid w:val="00FD4B6C"/>
    <w:rsid w:val="00FD5199"/>
    <w:rsid w:val="00FE012B"/>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740323">
      <w:bodyDiv w:val="1"/>
      <w:marLeft w:val="0"/>
      <w:marRight w:val="0"/>
      <w:marTop w:val="0"/>
      <w:marBottom w:val="0"/>
      <w:divBdr>
        <w:top w:val="none" w:sz="0" w:space="0" w:color="auto"/>
        <w:left w:val="none" w:sz="0" w:space="0" w:color="auto"/>
        <w:bottom w:val="none" w:sz="0" w:space="0" w:color="auto"/>
        <w:right w:val="none" w:sz="0" w:space="0" w:color="auto"/>
      </w:divBdr>
    </w:div>
    <w:div w:id="489563617">
      <w:bodyDiv w:val="1"/>
      <w:marLeft w:val="0"/>
      <w:marRight w:val="0"/>
      <w:marTop w:val="0"/>
      <w:marBottom w:val="0"/>
      <w:divBdr>
        <w:top w:val="none" w:sz="0" w:space="0" w:color="auto"/>
        <w:left w:val="none" w:sz="0" w:space="0" w:color="auto"/>
        <w:bottom w:val="none" w:sz="0" w:space="0" w:color="auto"/>
        <w:right w:val="none" w:sz="0" w:space="0" w:color="auto"/>
      </w:divBdr>
      <w:divsChild>
        <w:div w:id="1663700420">
          <w:marLeft w:val="0"/>
          <w:marRight w:val="0"/>
          <w:marTop w:val="0"/>
          <w:marBottom w:val="0"/>
          <w:divBdr>
            <w:top w:val="none" w:sz="0" w:space="0" w:color="auto"/>
            <w:left w:val="none" w:sz="0" w:space="0" w:color="auto"/>
            <w:bottom w:val="none" w:sz="0" w:space="0" w:color="auto"/>
            <w:right w:val="none" w:sz="0" w:space="0" w:color="auto"/>
          </w:divBdr>
          <w:divsChild>
            <w:div w:id="2021467001">
              <w:marLeft w:val="0"/>
              <w:marRight w:val="0"/>
              <w:marTop w:val="0"/>
              <w:marBottom w:val="0"/>
              <w:divBdr>
                <w:top w:val="none" w:sz="0" w:space="0" w:color="auto"/>
                <w:left w:val="none" w:sz="0" w:space="0" w:color="auto"/>
                <w:bottom w:val="none" w:sz="0" w:space="0" w:color="auto"/>
                <w:right w:val="none" w:sz="0" w:space="0" w:color="auto"/>
              </w:divBdr>
              <w:divsChild>
                <w:div w:id="2063554142">
                  <w:marLeft w:val="0"/>
                  <w:marRight w:val="0"/>
                  <w:marTop w:val="0"/>
                  <w:marBottom w:val="0"/>
                  <w:divBdr>
                    <w:top w:val="none" w:sz="0" w:space="0" w:color="auto"/>
                    <w:left w:val="none" w:sz="0" w:space="0" w:color="auto"/>
                    <w:bottom w:val="none" w:sz="0" w:space="0" w:color="auto"/>
                    <w:right w:val="none" w:sz="0" w:space="0" w:color="auto"/>
                  </w:divBdr>
                  <w:divsChild>
                    <w:div w:id="430056454">
                      <w:marLeft w:val="0"/>
                      <w:marRight w:val="0"/>
                      <w:marTop w:val="0"/>
                      <w:marBottom w:val="0"/>
                      <w:divBdr>
                        <w:top w:val="none" w:sz="0" w:space="0" w:color="auto"/>
                        <w:left w:val="none" w:sz="0" w:space="0" w:color="auto"/>
                        <w:bottom w:val="none" w:sz="0" w:space="0" w:color="auto"/>
                        <w:right w:val="none" w:sz="0" w:space="0" w:color="auto"/>
                      </w:divBdr>
                      <w:divsChild>
                        <w:div w:id="1042246577">
                          <w:marLeft w:val="0"/>
                          <w:marRight w:val="0"/>
                          <w:marTop w:val="0"/>
                          <w:marBottom w:val="0"/>
                          <w:divBdr>
                            <w:top w:val="none" w:sz="0" w:space="0" w:color="auto"/>
                            <w:left w:val="none" w:sz="0" w:space="0" w:color="auto"/>
                            <w:bottom w:val="none" w:sz="0" w:space="0" w:color="auto"/>
                            <w:right w:val="none" w:sz="0" w:space="0" w:color="auto"/>
                          </w:divBdr>
                          <w:divsChild>
                            <w:div w:id="400719168">
                              <w:marLeft w:val="0"/>
                              <w:marRight w:val="0"/>
                              <w:marTop w:val="0"/>
                              <w:marBottom w:val="0"/>
                              <w:divBdr>
                                <w:top w:val="none" w:sz="0" w:space="0" w:color="auto"/>
                                <w:left w:val="none" w:sz="0" w:space="0" w:color="auto"/>
                                <w:bottom w:val="none" w:sz="0" w:space="0" w:color="auto"/>
                                <w:right w:val="none" w:sz="0" w:space="0" w:color="auto"/>
                              </w:divBdr>
                              <w:divsChild>
                                <w:div w:id="1131021239">
                                  <w:marLeft w:val="0"/>
                                  <w:marRight w:val="0"/>
                                  <w:marTop w:val="0"/>
                                  <w:marBottom w:val="0"/>
                                  <w:divBdr>
                                    <w:top w:val="none" w:sz="0" w:space="0" w:color="auto"/>
                                    <w:left w:val="none" w:sz="0" w:space="0" w:color="auto"/>
                                    <w:bottom w:val="none" w:sz="0" w:space="0" w:color="auto"/>
                                    <w:right w:val="none" w:sz="0" w:space="0" w:color="auto"/>
                                  </w:divBdr>
                                  <w:divsChild>
                                    <w:div w:id="410738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40523118">
      <w:bodyDiv w:val="1"/>
      <w:marLeft w:val="0"/>
      <w:marRight w:val="0"/>
      <w:marTop w:val="0"/>
      <w:marBottom w:val="0"/>
      <w:divBdr>
        <w:top w:val="none" w:sz="0" w:space="0" w:color="auto"/>
        <w:left w:val="none" w:sz="0" w:space="0" w:color="auto"/>
        <w:bottom w:val="none" w:sz="0" w:space="0" w:color="auto"/>
        <w:right w:val="none" w:sz="0" w:space="0" w:color="auto"/>
      </w:divBdr>
      <w:divsChild>
        <w:div w:id="2054383814">
          <w:marLeft w:val="0"/>
          <w:marRight w:val="0"/>
          <w:marTop w:val="0"/>
          <w:marBottom w:val="0"/>
          <w:divBdr>
            <w:top w:val="none" w:sz="0" w:space="0" w:color="auto"/>
            <w:left w:val="none" w:sz="0" w:space="0" w:color="auto"/>
            <w:bottom w:val="none" w:sz="0" w:space="0" w:color="auto"/>
            <w:right w:val="none" w:sz="0" w:space="0" w:color="auto"/>
          </w:divBdr>
          <w:divsChild>
            <w:div w:id="380137863">
              <w:marLeft w:val="0"/>
              <w:marRight w:val="0"/>
              <w:marTop w:val="0"/>
              <w:marBottom w:val="0"/>
              <w:divBdr>
                <w:top w:val="none" w:sz="0" w:space="0" w:color="auto"/>
                <w:left w:val="none" w:sz="0" w:space="0" w:color="auto"/>
                <w:bottom w:val="none" w:sz="0" w:space="0" w:color="auto"/>
                <w:right w:val="none" w:sz="0" w:space="0" w:color="auto"/>
              </w:divBdr>
              <w:divsChild>
                <w:div w:id="1934509065">
                  <w:marLeft w:val="0"/>
                  <w:marRight w:val="0"/>
                  <w:marTop w:val="0"/>
                  <w:marBottom w:val="0"/>
                  <w:divBdr>
                    <w:top w:val="none" w:sz="0" w:space="0" w:color="auto"/>
                    <w:left w:val="none" w:sz="0" w:space="0" w:color="auto"/>
                    <w:bottom w:val="none" w:sz="0" w:space="0" w:color="auto"/>
                    <w:right w:val="none" w:sz="0" w:space="0" w:color="auto"/>
                  </w:divBdr>
                  <w:divsChild>
                    <w:div w:id="1909265973">
                      <w:marLeft w:val="0"/>
                      <w:marRight w:val="0"/>
                      <w:marTop w:val="0"/>
                      <w:marBottom w:val="0"/>
                      <w:divBdr>
                        <w:top w:val="none" w:sz="0" w:space="0" w:color="auto"/>
                        <w:left w:val="none" w:sz="0" w:space="0" w:color="auto"/>
                        <w:bottom w:val="none" w:sz="0" w:space="0" w:color="auto"/>
                        <w:right w:val="none" w:sz="0" w:space="0" w:color="auto"/>
                      </w:divBdr>
                      <w:divsChild>
                        <w:div w:id="708920371">
                          <w:marLeft w:val="0"/>
                          <w:marRight w:val="0"/>
                          <w:marTop w:val="0"/>
                          <w:marBottom w:val="0"/>
                          <w:divBdr>
                            <w:top w:val="none" w:sz="0" w:space="0" w:color="auto"/>
                            <w:left w:val="none" w:sz="0" w:space="0" w:color="auto"/>
                            <w:bottom w:val="none" w:sz="0" w:space="0" w:color="auto"/>
                            <w:right w:val="none" w:sz="0" w:space="0" w:color="auto"/>
                          </w:divBdr>
                          <w:divsChild>
                            <w:div w:id="1999765945">
                              <w:marLeft w:val="0"/>
                              <w:marRight w:val="0"/>
                              <w:marTop w:val="0"/>
                              <w:marBottom w:val="0"/>
                              <w:divBdr>
                                <w:top w:val="none" w:sz="0" w:space="0" w:color="auto"/>
                                <w:left w:val="none" w:sz="0" w:space="0" w:color="auto"/>
                                <w:bottom w:val="none" w:sz="0" w:space="0" w:color="auto"/>
                                <w:right w:val="none" w:sz="0" w:space="0" w:color="auto"/>
                              </w:divBdr>
                              <w:divsChild>
                                <w:div w:id="1334995982">
                                  <w:marLeft w:val="0"/>
                                  <w:marRight w:val="0"/>
                                  <w:marTop w:val="0"/>
                                  <w:marBottom w:val="0"/>
                                  <w:divBdr>
                                    <w:top w:val="none" w:sz="0" w:space="0" w:color="auto"/>
                                    <w:left w:val="none" w:sz="0" w:space="0" w:color="auto"/>
                                    <w:bottom w:val="none" w:sz="0" w:space="0" w:color="auto"/>
                                    <w:right w:val="none" w:sz="0" w:space="0" w:color="auto"/>
                                  </w:divBdr>
                                  <w:divsChild>
                                    <w:div w:id="151684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686823">
      <w:bodyDiv w:val="1"/>
      <w:marLeft w:val="0"/>
      <w:marRight w:val="0"/>
      <w:marTop w:val="0"/>
      <w:marBottom w:val="0"/>
      <w:divBdr>
        <w:top w:val="none" w:sz="0" w:space="0" w:color="auto"/>
        <w:left w:val="none" w:sz="0" w:space="0" w:color="auto"/>
        <w:bottom w:val="none" w:sz="0" w:space="0" w:color="auto"/>
        <w:right w:val="none" w:sz="0" w:space="0" w:color="auto"/>
      </w:divBdr>
    </w:div>
    <w:div w:id="828520263">
      <w:bodyDiv w:val="1"/>
      <w:marLeft w:val="0"/>
      <w:marRight w:val="0"/>
      <w:marTop w:val="0"/>
      <w:marBottom w:val="0"/>
      <w:divBdr>
        <w:top w:val="none" w:sz="0" w:space="0" w:color="auto"/>
        <w:left w:val="none" w:sz="0" w:space="0" w:color="auto"/>
        <w:bottom w:val="none" w:sz="0" w:space="0" w:color="auto"/>
        <w:right w:val="none" w:sz="0" w:space="0" w:color="auto"/>
      </w:divBdr>
    </w:div>
    <w:div w:id="98412090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astmarkets.com/insights/nigeria-finalizes-carbon-market-policy-targets-2-5-bln-in-climate-investment-by-2030/"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batnoncenter.org/wp-content/uploads/2024/03/NCCC-Regulatory-Guidance-on-Nigerias-Carbon-Market-Approach.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ercst.org/wp-content/uploads/2021/11/20211122-COP26-Art6-final.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astmarkets.com/insights/nigeria-finalizes-carbon-market-policy-targets-2-5-bln-in-climate-investment-by-2030/" TargetMode="External"/><Relationship Id="rId10" Type="http://schemas.openxmlformats.org/officeDocument/2006/relationships/endnotes" Target="endnotes.xml"/><Relationship Id="rId19" Type="http://schemas.openxmlformats.org/officeDocument/2006/relationships/hyperlink" Target="https://cdn.cseindia.org/COP28/Article6.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29</Pages>
  <Words>22583</Words>
  <Characters>128727</Characters>
  <Application>Microsoft Office Word</Application>
  <DocSecurity>0</DocSecurity>
  <Lines>1072</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3</cp:revision>
  <cp:lastPrinted>2025-03-21T00:14:00Z</cp:lastPrinted>
  <dcterms:created xsi:type="dcterms:W3CDTF">2025-07-27T13:02:00Z</dcterms:created>
  <dcterms:modified xsi:type="dcterms:W3CDTF">2025-08-03T21:22:00Z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